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Código de protección y defensa del consumidor </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Titulo preliminar</w:t>
      </w:r>
    </w:p>
    <w:p>
      <w:pPr/>
      <w:r>
        <w:rPr>
          <w:rFonts w:ascii="Avenir" w:hAnsi="Avenir" w:cs="Avenir"/>
          <w:sz w:val="48"/>
          <w:sz-cs w:val="48"/>
          <w:spacing w:val="0"/>
          <w:color w:val="000000"/>
        </w:rPr>
        <w:t xml:space="preserve">Artículo II.- Finalidad El presente Código tiene la finalidad de que los consumidores accedan a productos y servicios idóneos y que gocen de los derechos y los mecanismos efectivos para su protección, reduciendo la asimetría informativa, corrigiendo, previniendo o eliminando las conductas y prácticas que afecten sus legítimos intereses. En el régimen de economía social de mercado establecido por la Constitución, la protección se interpreta en el sentido mas favorable al consumidor, de acuerdo a lo establecido en el presente Código.</w:t>
      </w:r>
    </w:p>
    <w:p>
      <w:pPr/>
      <w:r>
        <w:rPr>
          <w:rFonts w:ascii="Avenir" w:hAnsi="Avenir" w:cs="Avenir"/>
          <w:sz w:val="48"/>
          <w:sz-cs w:val="48"/>
          <w:spacing w:val="0"/>
          <w:color w:val="000000"/>
        </w:rPr>
        <w:t xml:space="preserve">Artículo IV.- Definiciones Para los efectos del presente Código, se entiende por: </w:t>
      </w:r>
    </w:p>
    <w:p>
      <w:pPr/>
      <w:r>
        <w:rPr>
          <w:rFonts w:ascii="Avenir" w:hAnsi="Avenir" w:cs="Avenir"/>
          <w:sz w:val="48"/>
          <w:sz-cs w:val="48"/>
          <w:spacing w:val="0"/>
          <w:color w:val="000000"/>
        </w:rPr>
        <w:t xml:space="preserve">1. Consumidores o usuarios </w:t>
      </w:r>
    </w:p>
    <w:p>
      <w:pPr/>
      <w:r>
        <w:rPr>
          <w:rFonts w:ascii="Avenir" w:hAnsi="Avenir" w:cs="Avenir"/>
          <w:sz w:val="48"/>
          <w:sz-cs w:val="48"/>
          <w:spacing w:val="0"/>
          <w:color w:val="000000"/>
        </w:rPr>
        <w:t xml:space="preserve"/>
        <w:tab/>
        <w:t xml:space="preserve">1.1 Las personas naturales o jurídicas que adquieren, utilizan o disfrutan como destinatarios finales productos o servicios </w:t>
        <w:tab/>
        <w:t xml:space="preserve"/>
        <w:tab/>
        <w:t xml:space="preserve"/>
        <w:tab/>
        <w:t xml:space="preserve"/>
        <w:tab/>
        <w:t xml:space="preserve">materiales e inmateriales, en beneficio propio o de su grupo familiar o social, actuando así en un ámbito ajeno a una actividad </w:t>
        <w:tab/>
        <w:t xml:space="preserve"/>
        <w:tab/>
        <w:t xml:space="preserve">empresarial o profesional. No se considera consumidor para efectos de este Código a quién adquiere, utiliza o disfruta de un </w:t>
        <w:tab/>
        <w:t xml:space="preserve"/>
        <w:tab/>
        <w:t xml:space="preserve">producto o servicio normalmente destinado para los fines de su actividad como proveedor. </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TÍTULO I </w:t>
      </w:r>
    </w:p>
    <w:p>
      <w:pPr/>
      <w:r>
        <w:rPr>
          <w:rFonts w:ascii="Avenir" w:hAnsi="Avenir" w:cs="Avenir"/>
          <w:sz w:val="48"/>
          <w:sz-cs w:val="48"/>
          <w:spacing w:val="0"/>
          <w:color w:val="000000"/>
        </w:rPr>
        <w:t xml:space="preserve">DERECHOS DE LOS CONSUMIDORES Y RELACIÓN CONSUMIDOR-PROVEEDOR </w:t>
      </w:r>
    </w:p>
    <w:p>
      <w:pPr/>
      <w:r>
        <w:rPr>
          <w:rFonts w:ascii="Avenir" w:hAnsi="Avenir" w:cs="Avenir"/>
          <w:sz w:val="48"/>
          <w:sz-cs w:val="48"/>
          <w:spacing w:val="0"/>
          <w:color w:val="000000"/>
        </w:rPr>
        <w:t xml:space="preserve">Capítulo I</w:t>
      </w:r>
    </w:p>
    <w:p>
      <w:pPr/>
      <w:r>
        <w:rPr>
          <w:rFonts w:ascii="Avenir" w:hAnsi="Avenir" w:cs="Avenir"/>
          <w:sz w:val="48"/>
          <w:sz-cs w:val="48"/>
          <w:spacing w:val="0"/>
          <w:color w:val="000000"/>
        </w:rPr>
        <w:t xml:space="preserve"> Derechos de los consumidores </w:t>
      </w: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Artículo V.- Principios </w:t>
      </w:r>
    </w:p>
    <w:p>
      <w:pPr/>
      <w:r>
        <w:rPr>
          <w:rFonts w:ascii="Avenir" w:hAnsi="Avenir" w:cs="Avenir"/>
          <w:sz w:val="48"/>
          <w:sz-cs w:val="48"/>
          <w:spacing w:val="0"/>
          <w:color w:val="000000"/>
        </w:rPr>
        <w:t xml:space="preserve">El presente Código se sujeta a los siguientes principios: </w:t>
      </w:r>
    </w:p>
    <w:p>
      <w:pPr/>
      <w:r>
        <w:rPr>
          <w:rFonts w:ascii="Avenir" w:hAnsi="Avenir" w:cs="Avenir"/>
          <w:sz w:val="48"/>
          <w:sz-cs w:val="48"/>
          <w:spacing w:val="0"/>
          <w:color w:val="000000"/>
        </w:rPr>
        <w:t xml:space="preserve">1. </w:t>
      </w:r>
      <w:r>
        <w:rPr>
          <w:rFonts w:ascii="Avenir" w:hAnsi="Avenir" w:cs="Avenir"/>
          <w:sz w:val="48"/>
          <w:sz-cs w:val="48"/>
          <w:b/>
          <w:spacing w:val="0"/>
          <w:color w:val="000000"/>
        </w:rPr>
        <w:t xml:space="preserve">Principio de Soberanía del Consumidor</w:t>
      </w:r>
      <w:r>
        <w:rPr>
          <w:rFonts w:ascii="Avenir" w:hAnsi="Avenir" w:cs="Avenir"/>
          <w:sz w:val="48"/>
          <w:sz-cs w:val="48"/>
          <w:spacing w:val="0"/>
          <w:color w:val="000000"/>
        </w:rPr>
        <w:t xml:space="preserve">.- Las normas de protección al consumidor fomentan las decisiones libres e informadas de los consumidores, a fin de que con sus decisiones orienten el mercado en la mejora de las condiciones de los productos o servicios ofrecidos. </w:t>
      </w:r>
    </w:p>
    <w:p>
      <w:pPr/>
      <w:r>
        <w:rPr>
          <w:rFonts w:ascii="Avenir" w:hAnsi="Avenir" w:cs="Avenir"/>
          <w:sz w:val="48"/>
          <w:sz-cs w:val="48"/>
          <w:spacing w:val="0"/>
          <w:color w:val="000000"/>
        </w:rPr>
        <w:t xml:space="preserve">2. </w:t>
      </w:r>
      <w:r>
        <w:rPr>
          <w:rFonts w:ascii="Avenir" w:hAnsi="Avenir" w:cs="Avenir"/>
          <w:sz w:val="48"/>
          <w:sz-cs w:val="48"/>
          <w:b/>
          <w:spacing w:val="0"/>
          <w:color w:val="000000"/>
        </w:rPr>
        <w:t xml:space="preserve">Principio Pro Consumidor</w:t>
      </w:r>
      <w:r>
        <w:rPr>
          <w:rFonts w:ascii="Avenir" w:hAnsi="Avenir" w:cs="Avenir"/>
          <w:sz w:val="48"/>
          <w:sz-cs w:val="48"/>
          <w:spacing w:val="0"/>
          <w:color w:val="000000"/>
        </w:rPr>
        <w:t xml:space="preserve">.- En cualquier campo de su actuación, el Estado ejerce una acción intuitiva a favor de los consumidores. En proyección de este principio en caso de duda insalvable en el sentido de las normas o cuando exista duda en los alcances de los contratos por adhesión y los celebrados en base a cláusulas generales de contratación, debe interpretarse en sentido más favorable al consumidor. </w:t>
      </w:r>
    </w:p>
    <w:p>
      <w:pPr/>
      <w:r>
        <w:rPr>
          <w:rFonts w:ascii="Avenir" w:hAnsi="Avenir" w:cs="Avenir"/>
          <w:sz w:val="48"/>
          <w:sz-cs w:val="48"/>
          <w:spacing w:val="0"/>
          <w:color w:val="000000"/>
        </w:rPr>
        <w:t xml:space="preserve">3. </w:t>
      </w:r>
      <w:r>
        <w:rPr>
          <w:rFonts w:ascii="Avenir" w:hAnsi="Avenir" w:cs="Avenir"/>
          <w:sz w:val="48"/>
          <w:sz-cs w:val="48"/>
          <w:b/>
          <w:spacing w:val="0"/>
          <w:color w:val="000000"/>
        </w:rPr>
        <w:t xml:space="preserve">Principio de Transparencia</w:t>
      </w:r>
      <w:r>
        <w:rPr>
          <w:rFonts w:ascii="Avenir" w:hAnsi="Avenir" w:cs="Avenir"/>
          <w:sz w:val="48"/>
          <w:sz-cs w:val="48"/>
          <w:spacing w:val="0"/>
          <w:color w:val="000000"/>
        </w:rPr>
        <w:t xml:space="preserve">.- En la actuación en el mercado, los proveedores generan una plena accesibilidad a la información a los consumidores acerca de los productos o servicios qué ofrecen. La información brindada debe ser veraz y apropiada conforme al presente Código. </w:t>
      </w:r>
    </w:p>
    <w:p>
      <w:pPr/>
      <w:r>
        <w:rPr>
          <w:rFonts w:ascii="Avenir" w:hAnsi="Avenir" w:cs="Avenir"/>
          <w:sz w:val="48"/>
          <w:sz-cs w:val="48"/>
          <w:spacing w:val="0"/>
          <w:color w:val="000000"/>
        </w:rPr>
        <w:t xml:space="preserve">4. </w:t>
      </w:r>
      <w:r>
        <w:rPr>
          <w:rFonts w:ascii="Avenir" w:hAnsi="Avenir" w:cs="Avenir"/>
          <w:sz w:val="48"/>
          <w:sz-cs w:val="48"/>
          <w:b/>
          <w:spacing w:val="0"/>
          <w:color w:val="000000"/>
        </w:rPr>
        <w:t xml:space="preserve">Principio de Corrección de la Asimetría</w:t>
      </w:r>
      <w:r>
        <w:rPr>
          <w:rFonts w:ascii="Avenir" w:hAnsi="Avenir" w:cs="Avenir"/>
          <w:sz w:val="48"/>
          <w:sz-cs w:val="48"/>
          <w:spacing w:val="0"/>
          <w:color w:val="000000"/>
        </w:rPr>
        <w:t xml:space="preserve">.- Las normas de protección al consumidor buscan corregir las distorsiones o malas prácticas generadas por la asimetría informativa o la situación de desequilibrio que se presente entre los proveedores y consumidores, sea en la contratación o en cualquier otra situación relevante, que coloquen a los segundos en una situación de desventaja respecto de los primeros al momento de actuar en el mercado. </w:t>
      </w:r>
    </w:p>
    <w:p>
      <w:pPr/>
      <w:r>
        <w:rPr>
          <w:rFonts w:ascii="Avenir" w:hAnsi="Avenir" w:cs="Avenir"/>
          <w:sz w:val="48"/>
          <w:sz-cs w:val="48"/>
          <w:spacing w:val="0"/>
          <w:color w:val="000000"/>
        </w:rPr>
        <w:t xml:space="preserve">5.</w:t>
      </w:r>
      <w:r>
        <w:rPr>
          <w:rFonts w:ascii="Avenir" w:hAnsi="Avenir" w:cs="Avenir"/>
          <w:sz w:val="48"/>
          <w:sz-cs w:val="48"/>
          <w:b/>
          <w:spacing w:val="0"/>
          <w:color w:val="000000"/>
        </w:rPr>
        <w:t xml:space="preserve"> Principio de Buena Fe</w:t>
      </w:r>
      <w:r>
        <w:rPr>
          <w:rFonts w:ascii="Avenir" w:hAnsi="Avenir" w:cs="Avenir"/>
          <w:sz w:val="48"/>
          <w:sz-cs w:val="48"/>
          <w:spacing w:val="0"/>
          <w:color w:val="000000"/>
        </w:rPr>
        <w:t xml:space="preserve">.- En la actuación en el mercado y en el ámbito de vigencia del presente Código, los consumidores, los proveedores, las asociaciones de consumidores, y sus representantes, deben guiar su conducta acorde con el principio de la buena fe de confianza y lealtad entre las partes. Al evaluar la conducta del consumidor se analizan las circunstancias relevantes del caso, como la información brindada, las características de la contratación y otros elementos sobre el particular. </w:t>
      </w:r>
    </w:p>
    <w:p>
      <w:pPr/>
      <w:r>
        <w:rPr>
          <w:rFonts w:ascii="Avenir" w:hAnsi="Avenir" w:cs="Avenir"/>
          <w:sz w:val="48"/>
          <w:sz-cs w:val="48"/>
          <w:spacing w:val="0"/>
          <w:color w:val="000000"/>
        </w:rPr>
        <w:t xml:space="preserve">6. </w:t>
      </w:r>
      <w:r>
        <w:rPr>
          <w:rFonts w:ascii="Avenir" w:hAnsi="Avenir" w:cs="Avenir"/>
          <w:sz w:val="48"/>
          <w:sz-cs w:val="48"/>
          <w:b/>
          <w:spacing w:val="0"/>
          <w:color w:val="000000"/>
        </w:rPr>
        <w:t xml:space="preserve">Principio de Protección Mínima</w:t>
      </w:r>
      <w:r>
        <w:rPr>
          <w:rFonts w:ascii="Avenir" w:hAnsi="Avenir" w:cs="Avenir"/>
          <w:sz w:val="48"/>
          <w:sz-cs w:val="48"/>
          <w:spacing w:val="0"/>
          <w:color w:val="000000"/>
        </w:rPr>
        <w:t xml:space="preserve">.- El presente Código contiene las normas de mínima protección a los consumidores y no impide que las normas sectoriales puedan dispensar un nivel de protección mayor. </w:t>
      </w:r>
    </w:p>
    <w:p>
      <w:pPr/>
      <w:r>
        <w:rPr>
          <w:rFonts w:ascii="Avenir" w:hAnsi="Avenir" w:cs="Avenir"/>
          <w:sz w:val="48"/>
          <w:sz-cs w:val="48"/>
          <w:spacing w:val="0"/>
          <w:color w:val="000000"/>
        </w:rPr>
        <w:t xml:space="preserve">7. </w:t>
      </w:r>
      <w:r>
        <w:rPr>
          <w:rFonts w:ascii="Avenir" w:hAnsi="Avenir" w:cs="Avenir"/>
          <w:sz w:val="48"/>
          <w:sz-cs w:val="48"/>
          <w:b/>
          <w:spacing w:val="0"/>
          <w:color w:val="000000"/>
        </w:rPr>
        <w:t xml:space="preserve">Principio Pro Asociativo</w:t>
      </w:r>
      <w:r>
        <w:rPr>
          <w:rFonts w:ascii="Avenir" w:hAnsi="Avenir" w:cs="Avenir"/>
          <w:sz w:val="48"/>
          <w:sz-cs w:val="48"/>
          <w:spacing w:val="0"/>
          <w:color w:val="000000"/>
        </w:rPr>
        <w:t xml:space="preserve">.- El Estado facilita la actuación de las asociaciones de consumidores o usuarios en un marco de actuación responsable y con sujeción a lo previsto en el presente Código. </w:t>
      </w:r>
    </w:p>
    <w:p>
      <w:pPr/>
      <w:r>
        <w:rPr>
          <w:rFonts w:ascii="Avenir" w:hAnsi="Avenir" w:cs="Avenir"/>
          <w:sz w:val="48"/>
          <w:sz-cs w:val="48"/>
          <w:spacing w:val="0"/>
          <w:color w:val="000000"/>
        </w:rPr>
        <w:t xml:space="preserve">8. </w:t>
      </w:r>
      <w:r>
        <w:rPr>
          <w:rFonts w:ascii="Avenir" w:hAnsi="Avenir" w:cs="Avenir"/>
          <w:sz w:val="48"/>
          <w:sz-cs w:val="48"/>
          <w:b/>
          <w:spacing w:val="0"/>
          <w:color w:val="000000"/>
        </w:rPr>
        <w:t xml:space="preserve">Principio de Primacía de la Realidad</w:t>
      </w:r>
      <w:r>
        <w:rPr>
          <w:rFonts w:ascii="Avenir" w:hAnsi="Avenir" w:cs="Avenir"/>
          <w:sz w:val="48"/>
          <w:sz-cs w:val="48"/>
          <w:spacing w:val="0"/>
          <w:color w:val="000000"/>
        </w:rPr>
        <w:t xml:space="preserve">.- En la determinación de la verdadera naturaleza de las conductas, se consideran las situaciones y relaciones económicas que efectivamente se realicen, persigan o establezcan. La forma de los actos jurídicos utilizados en la relación de consumo no enerva el análisis que la autoridad efectúe sobre los verdaderos propósitos de la conducta que subyace al acto jurídico que la expresa. </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Artículo 2.- Información relevante 2.1 El proveedor tiene la obligación de ofrecer al consumidor toda la información relevante para tomar una decisión o realizar una elección adecuada de consumo, así como para efectuar un uso o consumo adecuado de los productos o servicios. 2.2 La información debe ser veraz, suficiente, de fácil comprensión, apropiada, oportuna y fácilmente accesible, debiendo ser brindada en idioma castellano. 2.3 Sin perjuicio de las exigencias concretas de las normas sectoriales correspondientes, para analizar la información relevante se tiene en consideración a toda aquella sin la cual no se hubiera adoptado la decisión de consumo o se hubiera efectuado en términos substancialmente distintos. Para ello se debe examinar si la información omitida desnaturaliza las condiciones en que se realizó la oferta al consumidor. 2.4 Al evaluarse la información, deben considerarse los problemas de confusión que generarían al consumidor el suministro de información excesiva o sumamente compleja, atendiendo a la naturaleza del producto adquirido o al servicio contratado. </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Subcapítulo II Protección del consumidor frente a la publicidad </w:t>
      </w:r>
    </w:p>
    <w:p>
      <w:pPr/>
      <w:r>
        <w:rPr>
          <w:rFonts w:ascii="Avenir" w:hAnsi="Avenir" w:cs="Avenir"/>
          <w:sz w:val="48"/>
          <w:sz-cs w:val="48"/>
        </w:rPr>
        <w:t xml:space="preserve"/>
      </w:r>
    </w:p>
    <w:p>
      <w:pPr/>
      <w:r>
        <w:rPr>
          <w:rFonts w:ascii="Avenir" w:hAnsi="Avenir" w:cs="Avenir"/>
          <w:sz w:val="48"/>
          <w:sz-cs w:val="48"/>
          <w:spacing w:val="0"/>
          <w:color w:val="000000"/>
        </w:rPr>
        <w:t xml:space="preserve">Artículo 13.- Finalidad La protección del consumidor frente a la publicidad tiene por finalidad proteger a los consumidores de la asimetría informativa en la que se encuentran y de la publicidad engañosa o falsa que de cualquier manera, incluida la presentación o en su caso por omisión de información relevante, induzcan o puedan inducirlos a error sobre el origen, la naturaleza, modo de fabricación o distribución, características, aptitud para el uso, calidad, cantidad, precio, condiciones de venta o adquisición y, en general, sobre los atributos, beneficios, limitaciones o condiciones que corresponden a los productos, servicios, establecimientos o transacciones que el agente económico que desarrolla tales actos pone a disposición en el mercado; o que los induzcan a error sobre los atributos que posee dicho agente, incluido todo aquello que representa su actividad empresarial. Asimismo, atendiendo al impacto que la publicidad puede generar en las conductas sociales, la protección del consumidor frente a la publicidad persigue que los anuncios no afecten el principio de adecuación social, evitando que induzcan a cometer actos ilegales o antisociales o de discriminación u otros de similar índole.</w:t>
      </w:r>
    </w:p>
    <w:p>
      <w:pPr/>
      <w:r>
        <w:rPr>
          <w:rFonts w:ascii="Avenir" w:hAnsi="Avenir" w:cs="Avenir"/>
          <w:sz w:val="48"/>
          <w:sz-cs w:val="48"/>
          <w:spacing w:val="0"/>
          <w:color w:val="000000"/>
        </w:rPr>
        <w:t xml:space="preserve">Artículo 14.- Publicidad de promociones </w:t>
      </w:r>
    </w:p>
    <w:p>
      <w:pPr/>
      <w:r>
        <w:rPr>
          <w:rFonts w:ascii="Avenir" w:hAnsi="Avenir" w:cs="Avenir"/>
          <w:sz w:val="48"/>
          <w:sz-cs w:val="48"/>
          <w:spacing w:val="0"/>
          <w:color w:val="000000"/>
        </w:rPr>
        <w:t xml:space="preserve">14.1 La publicidad de promociones de ventas debe consignar, en cada uno de los anuncios que la conforman, la indicación clara de su duración y la cantidad mínima de unidades disponibles de productos ofrecidos. En caso contrario, el proveedor está obligado a proporcionar a los consumidores que lo soliciten los productos o servicios ofertados, en las condiciones señaladas. Corresponde al proveedor probar ante las autoridades el cumplimiento del número y calidad de los productos ofrecidos y vendidos en la promoción. 14.2 Cuando existan condiciones y restricciones de acceso a las promociones de ventas, éstas deben ser informadas en forma clara, destacada y de manera que sea fácilmente advertible por el consumidor en cada uno de los anuncios que las publiciten o en una fuente de información distinta, siempre que en cada uno de los anuncios se informe clara y expresamente sobre la existencia de dichas restricciones, así como de las referencias de localización de dicha fuente de información. 14.3 La fuente de información indicada en el párrafo anterior debe ser un servicio gratuito de fácil acceso para los consumidores e idóneo en relación con el producto o servicio y el público al que van dirigidos los anuncios, que les permita informarse, de manera pronta y suficiente sobre las condiciones y restricciones aplicables a la promoción anunciada. Dicho servicio de información puede ser prestado a través de páginas web o servicios de llamada de parte del consumidor sin costo, entre otros medios. 14.4 La información complementaria no consignada en los anuncios y puesta a disposición a través de una fuente de información distinta debe ser consistente y no contradictoria con el mensaje publicitario. La carga de la prueba de la idoneidad de dicho servicio y de la información proporcionada por éste recae sobre el anunciante. </w:t>
      </w:r>
    </w:p>
    <w:p>
      <w:pPr/>
      <w:r>
        <w:rPr>
          <w:rFonts w:ascii="Avenir" w:hAnsi="Avenir" w:cs="Avenir"/>
          <w:sz w:val="48"/>
          <w:sz-cs w:val="48"/>
          <w:spacing w:val="0"/>
          <w:color w:val="000000"/>
        </w:rPr>
        <w:t xml:space="preserve">Artículo 16.- Publicidad dirigida a menores de edad La publicidad dirigida a los menores de edad no debe inducirlos a conclusiones equívocas sobre las características reales de los productos anunciados o sobre las posibilidades de los mismos, debiendo respetar la ingenuidad, la credulidad, la inexperiencia y el sentimiento de lealtad de los menores. Asimismo, dicha publicidad no debe generar sentimientos de inferioridad al menor que no consume el producto ofrecido. </w:t>
      </w:r>
    </w:p>
    <w:p>
      <w:pPr/>
      <w:r>
        <w:rPr>
          <w:rFonts w:ascii="Avenir" w:hAnsi="Avenir" w:cs="Avenir"/>
          <w:sz w:val="48"/>
          <w:sz-cs w:val="48"/>
          <w:spacing w:val="0"/>
          <w:color w:val="000000"/>
        </w:rPr>
        <w:t xml:space="preserve">Artículo 58.- Definición y alcances 58.1 El derecho de todo consumidor a la protección contra los métodos comerciales agresivos o engañosos implica que los proveedores no pueden llevar a cabo prácticas que mermen de forma significativa la libertad de elección del consumidor a través de figuras como el acoso, la coacción, la influencia indebida o el dolo. En tal sentido, están prohibidas todas aquellas prácticas comerciales que importen: </w:t>
      </w:r>
    </w:p>
    <w:p>
      <w:pPr/>
      <w:r>
        <w:rPr>
          <w:rFonts w:ascii="Avenir" w:hAnsi="Avenir" w:cs="Avenir"/>
          <w:sz w:val="48"/>
          <w:sz-cs w:val="48"/>
          <w:spacing w:val="0"/>
          <w:color w:val="000000"/>
        </w:rPr>
        <w:t xml:space="preserve"/>
        <w:tab/>
        <w:t xml:space="preserve">a. Crear la impresión de que el consumidor ya ha ganado, que ganará o conseguirá, si realiza un acto determinado, un premio o </w:t>
        <w:tab/>
        <w:t xml:space="preserve">cualquier otra ventaja equivalente cuando, en realidad: </w:t>
      </w:r>
    </w:p>
    <w:p>
      <w:pPr/>
      <w:r>
        <w:rPr>
          <w:rFonts w:ascii="Avenir" w:hAnsi="Avenir" w:cs="Avenir"/>
          <w:sz w:val="48"/>
          <w:sz-cs w:val="48"/>
          <w:spacing w:val="0"/>
          <w:color w:val="000000"/>
        </w:rPr>
        <w:t xml:space="preserve"/>
        <w:tab/>
        <w:t xml:space="preserve"/>
        <w:tab/>
        <w:t xml:space="preserve">(i) tal beneficio no existe</w:t>
      </w:r>
    </w:p>
    <w:p>
      <w:pPr/>
      <w:r>
        <w:rPr>
          <w:rFonts w:ascii="Avenir" w:hAnsi="Avenir" w:cs="Avenir"/>
          <w:sz w:val="48"/>
          <w:sz-cs w:val="48"/>
          <w:spacing w:val="0"/>
          <w:color w:val="000000"/>
        </w:rPr>
        <w:t xml:space="preserve"/>
        <w:tab/>
        <w:t xml:space="preserve"/>
        <w:tab/>
        <w:t xml:space="preserve">(ii) la realización de una acción relacionada con la obtención del premio o ventaja equivalente está sujeta a efectuar un pago o </w:t>
        <w:tab/>
        <w:t xml:space="preserve"/>
        <w:tab/>
        <w:t xml:space="preserve">incurrir en un gasto. </w:t>
      </w:r>
    </w:p>
    <w:p>
      <w:pPr/>
      <w:r>
        <w:rPr>
          <w:rFonts w:ascii="Avenir" w:hAnsi="Avenir" w:cs="Avenir"/>
          <w:sz w:val="48"/>
          <w:sz-cs w:val="48"/>
          <w:spacing w:val="0"/>
          <w:color w:val="000000"/>
        </w:rPr>
        <w:t xml:space="preserve"/>
        <w:tab/>
        <w:t xml:space="preserve">b. El cambio de la información originalmente proporcionada al consumidor al momento de celebrarse la contratación, sin el </w:t>
        <w:tab/>
        <w:t xml:space="preserve"/>
        <w:tab/>
        <w:t xml:space="preserve"/>
        <w:tab/>
        <w:t xml:space="preserve">consentimiento expreso e informado del consumidor. </w:t>
      </w:r>
    </w:p>
    <w:p>
      <w:pPr/>
      <w:r>
        <w:rPr>
          <w:rFonts w:ascii="Avenir" w:hAnsi="Avenir" w:cs="Avenir"/>
          <w:sz w:val="48"/>
          <w:sz-cs w:val="48"/>
          <w:spacing w:val="0"/>
          <w:color w:val="000000"/>
        </w:rPr>
        <w:t xml:space="preserve"/>
        <w:tab/>
        <w:t xml:space="preserve">c. El cambio de las condiciones del producto o servicio antes de la celebración del contrato, sin el consentimiento expreso e </w:t>
        <w:tab/>
        <w:t xml:space="preserve"/>
        <w:tab/>
        <w:t xml:space="preserve">informado del consumidor. </w:t>
      </w:r>
    </w:p>
    <w:p>
      <w:pPr/>
      <w:r>
        <w:rPr>
          <w:rFonts w:ascii="Avenir" w:hAnsi="Avenir" w:cs="Avenir"/>
          <w:sz w:val="48"/>
          <w:sz-cs w:val="48"/>
          <w:spacing w:val="0"/>
          <w:color w:val="000000"/>
        </w:rPr>
        <w:t xml:space="preserve"/>
        <w:tab/>
        <w:t xml:space="preserve">d. Realizar visitas en persona al domicilio del consumidor o realizar proposiciones no solicitadas, por teléfono, fax, correo </w:t>
        <w:tab/>
        <w:t xml:space="preserve"/>
        <w:tab/>
        <w:t xml:space="preserve"/>
        <w:tab/>
        <w:t xml:space="preserve">electrónico u otro medio, de manera persistente e impertinente, o ignorando la petición del consumidor para que cese este tipo </w:t>
        <w:tab/>
        <w:t xml:space="preserve">de actividades. </w:t>
      </w:r>
    </w:p>
    <w:p>
      <w:pPr/>
      <w:r>
        <w:rPr>
          <w:rFonts w:ascii="Avenir" w:hAnsi="Avenir" w:cs="Avenir"/>
          <w:sz w:val="48"/>
          <w:sz-cs w:val="48"/>
          <w:spacing w:val="0"/>
          <w:color w:val="000000"/>
        </w:rPr>
        <w:t xml:space="preserve"/>
        <w:tab/>
        <w:t xml:space="preserve">e. Emplear centros de llamada (call centers), sistemas de llamado telefónico, envío de mensajes de texto a celular o de mensajes </w:t>
        <w:tab/>
        <w:t xml:space="preserve">electrónicos masivos para promover productos y servicios, así como prestar el servicio de telemercadeo, a todos aquellos </w:t>
        <w:tab/>
        <w:t xml:space="preserve"/>
        <w:tab/>
        <w:t xml:space="preserve"/>
        <w:tab/>
        <w:t xml:space="preserve">números telefónicos y direcciones electrónicas que hayan sido incorporados en el registro implementado por el Indecopi para </w:t>
        <w:tab/>
        <w:t xml:space="preserve"/>
        <w:tab/>
        <w:t xml:space="preserve">registrar a los consumidores que no deseen ser sujetos de las modalidades de promoción antes indicadas. </w:t>
      </w:r>
    </w:p>
    <w:p>
      <w:pPr/>
      <w:r>
        <w:rPr>
          <w:rFonts w:ascii="Avenir" w:hAnsi="Avenir" w:cs="Avenir"/>
          <w:sz w:val="48"/>
          <w:sz-cs w:val="48"/>
          <w:spacing w:val="0"/>
          <w:color w:val="000000"/>
        </w:rPr>
        <w:t xml:space="preserve"/>
        <w:tab/>
        <w:t xml:space="preserve">f. En general, toda práctica que implique dolo, violencia o intimidación que haya sido determinante en la voluntad de contratar o </w:t>
        <w:tab/>
        <w:t xml:space="preserve">en el consentimiento del consumidor. 58.2 La presente disposición comprende todo tipo de contratación de productos o </w:t>
        <w:tab/>
        <w:t xml:space="preserve"/>
        <w:tab/>
        <w:t xml:space="preserve"/>
        <w:tab/>
        <w:t xml:space="preserve">servicios, sea efectuada mediante contratos dentro o fuera del establecimiento del proveedor, ventas telefónicas, a domicilio, por </w:t>
        <w:tab/>
        <w:t xml:space="preserve">catálogo, mediante agentes, contratos a distancia, y comercio electrónico o modalidades similares. </w:t>
      </w:r>
    </w:p>
    <w:p>
      <w:pPr/>
      <w:r>
        <w:rPr>
          <w:rFonts w:ascii="Avenir" w:hAnsi="Avenir" w:cs="Avenir"/>
          <w:sz w:val="48"/>
          <w:sz-cs w:val="48"/>
          <w:spacing w:val="0"/>
          <w:color w:val="000000"/>
        </w:rPr>
        <w:t xml:space="preserve">Artículo 110.- Sanciones administrativas </w:t>
      </w:r>
    </w:p>
    <w:p>
      <w:pPr/>
      <w:r>
        <w:rPr>
          <w:rFonts w:ascii="Avenir" w:hAnsi="Avenir" w:cs="Avenir"/>
          <w:sz w:val="48"/>
          <w:sz-cs w:val="48"/>
          <w:spacing w:val="0"/>
          <w:color w:val="000000"/>
        </w:rPr>
        <w:t xml:space="preserve">El Indecopi puede sancionar las infracciones administrativas a que se refiere el artículo 108 con amonestación y multas de hasta cuatrocientos cincuenta (450) Unidades Impositivas Tributarias (UIT), las cuales son calificadas de la siguiente manera: </w:t>
      </w:r>
    </w:p>
    <w:p>
      <w:pPr/>
      <w:r>
        <w:rPr>
          <w:rFonts w:ascii="Avenir" w:hAnsi="Avenir" w:cs="Avenir"/>
          <w:sz w:val="48"/>
          <w:sz-cs w:val="48"/>
          <w:spacing w:val="0"/>
          <w:color w:val="000000"/>
        </w:rPr>
        <w:t xml:space="preserve"/>
        <w:tab/>
        <w:t xml:space="preserve">a. Infracciones leves, con una amonestación o con una multa de hasta cincuenta (50) UIT. </w:t>
      </w:r>
    </w:p>
    <w:p>
      <w:pPr/>
      <w:r>
        <w:rPr>
          <w:rFonts w:ascii="Avenir" w:hAnsi="Avenir" w:cs="Avenir"/>
          <w:sz w:val="48"/>
          <w:sz-cs w:val="48"/>
          <w:spacing w:val="0"/>
          <w:color w:val="000000"/>
        </w:rPr>
        <w:t xml:space="preserve"/>
        <w:tab/>
        <w:t xml:space="preserve">b. Infracciones graves, con una multa de hasta ciento cincuenta (150) UIT. </w:t>
      </w:r>
    </w:p>
    <w:p>
      <w:pPr/>
      <w:r>
        <w:rPr>
          <w:rFonts w:ascii="Avenir" w:hAnsi="Avenir" w:cs="Avenir"/>
          <w:sz w:val="48"/>
          <w:sz-cs w:val="48"/>
          <w:spacing w:val="0"/>
          <w:color w:val="000000"/>
        </w:rPr>
        <w:t xml:space="preserve"/>
        <w:tab/>
        <w:t xml:space="preserve">c. Infracciones muy graves, con una multa de hasta cuatrocientos cincuenta (450) UIT. </w:t>
      </w:r>
    </w:p>
    <w:p>
      <w:pPr/>
      <w:r>
        <w:rPr>
          <w:rFonts w:ascii="Avenir" w:hAnsi="Avenir" w:cs="Avenir"/>
          <w:sz w:val="48"/>
          <w:sz-cs w:val="48"/>
          <w:spacing w:val="0"/>
          <w:color w:val="000000"/>
        </w:rPr>
        <w:t xml:space="preserve">En el caso de las microempresas, la multa no puede superar el diez por ciento (10%) de las ventas o ingresos brutos percibidos por el infractor, relativos a todas sus actividades económicas, correspondientes al ejercicio inmediato anterior al de la expedición de la resolución de primera instancia, siempre que se haya acreditado dichos ingresos, no se encuentre en una situación de reincidencia y el caso no verse sobre la vida, salud o integridad de los consumidores. Para el caso de las pequeñas empresas, la multa no puede superar el veinte por ciento (20%) de las ventas o ingresos brutos percibidos por el infractor, conforme a los requisitos señalados anteriormente. La cuantía de las multas por las infracciones previstas en el Decreto Legislativo núm. 807, Ley sobre Facultades, </w:t>
        <w:tab/>
        <w:t xml:space="preserve"/>
        <w:tab/>
        <w:t xml:space="preserve">Normas y Organización del Indecopi, se rige por lo establecido en dicha norma, salvo disposición distinta del presente Código. </w:t>
        <w:tab/>
        <w:t xml:space="preserve">Las sanciones administrativas son impuestas sin perjuicio de las medidas correctivas que ordene el Indecopi y de la </w:t>
        <w:tab/>
        <w:t xml:space="preserve">responsabilidad civil o penal que pueda corresponder. </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UIT (Unidad Impositiva Tributaria)</w:t>
      </w:r>
    </w:p>
    <w:p>
      <w:pPr/>
      <w:r>
        <w:rPr>
          <w:rFonts w:ascii="Avenir" w:hAnsi="Avenir" w:cs="Avenir"/>
          <w:sz w:val="48"/>
          <w:sz-cs w:val="48"/>
          <w:spacing w:val="0"/>
          <w:color w:val="000000"/>
        </w:rPr>
        <w:t xml:space="preserve"/>
      </w:r>
    </w:p>
    <w:p>
      <w:pPr/>
      <w:r>
        <w:rPr>
          <w:rFonts w:ascii="Avenir" w:hAnsi="Avenir" w:cs="Avenir"/>
          <w:sz w:val="48"/>
          <w:sz-cs w:val="48"/>
          <w:spacing w:val="0"/>
          <w:color w:val="000000"/>
        </w:rPr>
        <w:t xml:space="preserve">1UIT=S/100</w:t>
      </w:r>
    </w:p>
    <w:p>
      <w:pPr/>
      <w:r>
        <w:rPr>
          <w:rFonts w:ascii="Avenir" w:hAnsi="Avenir" w:cs="Avenir"/>
          <w:sz w:val="48"/>
          <w:sz-cs w:val="48"/>
          <w:spacing w:val="0"/>
          <w:color w:val="000000"/>
        </w:rPr>
        <w:t xml:space="preserve">50 UIT=S/5000 = $27669.29</w:t>
      </w:r>
    </w:p>
    <w:p>
      <w:pPr/>
      <w:r>
        <w:rPr>
          <w:rFonts w:ascii="Avenir" w:hAnsi="Avenir" w:cs="Avenir"/>
          <w:sz w:val="48"/>
          <w:sz-cs w:val="48"/>
          <w:spacing w:val="0"/>
          <w:color w:val="000000"/>
        </w:rPr>
        <w:t xml:space="preserve">150 UIT=S/15000= $83007.88</w:t>
      </w:r>
    </w:p>
    <w:p>
      <w:pPr/>
      <w:r>
        <w:rPr>
          <w:rFonts w:ascii="Avenir" w:hAnsi="Avenir" w:cs="Avenir"/>
          <w:sz w:val="48"/>
          <w:sz-cs w:val="48"/>
          <w:spacing w:val="0"/>
          <w:color w:val="000000"/>
        </w:rPr>
        <w:t xml:space="preserve">450 UIT= S/45000= $249023.64</w:t>
      </w:r>
    </w:p>
    <w:p>
      <w:pPr/>
      <w:r>
        <w:rPr>
          <w:rFonts w:ascii="Avenir" w:hAnsi="Avenir" w:cs="Avenir"/>
          <w:sz w:val="48"/>
          <w:sz-cs w:val="48"/>
          <w:spacing w:val="0"/>
          <w:color w:val="000000"/>
        </w:rPr>
        <w:t xml:space="preserve">S/1=$5.53</w:t>
      </w:r>
    </w:p>
    <w:p>
      <w:pPr>
        <w:spacing w:after="140"/>
      </w:pPr>
      <w:r>
        <w:rPr>
          <w:rFonts w:ascii="Avenir" w:hAnsi="Avenir" w:cs="Avenir"/>
          <w:sz w:val="48"/>
          <w:sz-cs w:val="48"/>
          <w:spacing w:val="0"/>
          <w:color w:val="1A1A1A"/>
        </w:rPr>
        <w:t xml:space="preserve">El INDECOPI es el organismo encargado de la aplicación de las normas legales destinadas a proteger:</w:t>
      </w:r>
      <w:r>
        <w:rPr>
          <w:rFonts w:ascii="Avenir" w:hAnsi="Avenir" w:cs="Avenir"/>
          <w:sz w:val="48"/>
          <w:sz-cs w:val="48"/>
          <w:vertAlign w:val="superscript"/>
          <w:spacing w:val="0"/>
          <w:color w:val="0A006D"/>
        </w:rPr>
        <w:t xml:space="preserve">1</w:t>
      </w:r>
      <w:r>
        <w:rPr>
          <w:rFonts w:ascii="Avenir" w:hAnsi="Avenir" w:cs="Avenir"/>
          <w:sz w:val="48"/>
          <w:sz-cs w:val="48"/>
          <w:spacing w:val="0"/>
          <w:color w:val="1A1A1A"/>
        </w:rPr>
        <w:t xml:space="preserve"> </w:t>
      </w:r>
    </w:p>
    <w:p>
      <w:pPr>
        <w:ind w:left="720" w:first-line="-720"/>
        <w:spacing w:after="28"/>
      </w:pPr>
      <w:r>
        <w:rPr>
          <w:rFonts w:ascii="Avenir" w:hAnsi="Avenir" w:cs="Avenir"/>
          <w:sz w:val="48"/>
          <w:sz-cs w:val="48"/>
          <w:color w:val="1A1A1A"/>
        </w:rPr>
        <w:t xml:space="preserve"/>
        <w:tab/>
        <w:t xml:space="preserve">•</w:t>
        <w:tab/>
        <w:t xml:space="preserve"/>
      </w:r>
      <w:r>
        <w:rPr>
          <w:rFonts w:ascii="Avenir" w:hAnsi="Avenir" w:cs="Avenir"/>
          <w:sz w:val="48"/>
          <w:sz-cs w:val="48"/>
          <w:spacing w:val="0"/>
          <w:color w:val="1A1A1A"/>
        </w:rPr>
        <w:t xml:space="preserve">El mercado, de las prácticas monopólicas que resulten controlistas y restrictivas de la competencia en la producción y comercialización de bienes y en la prestación de servicios, así como de las prácticas que generan competencia desleal y de aquellas que afectan a los agentes del mercado y a los consumidores.</w:t>
      </w:r>
      <w:r>
        <w:rPr>
          <w:rFonts w:ascii="Avenir" w:hAnsi="Avenir" w:cs="Avenir"/>
          <w:sz w:val="48"/>
          <w:sz-cs w:val="48"/>
          <w:spacing w:val="0"/>
          <w:color w:val="1A1A1A"/>
        </w:rPr>
        <w:t xml:space="preserve"/>
      </w:r>
    </w:p>
    <w:p>
      <w:pPr>
        <w:ind w:left="720" w:first-line="-720"/>
        <w:spacing w:after="28"/>
      </w:pPr>
      <w:r>
        <w:rPr>
          <w:rFonts w:ascii="Avenir" w:hAnsi="Avenir" w:cs="Avenir"/>
          <w:sz w:val="48"/>
          <w:sz-cs w:val="48"/>
          <w:color w:val="1A1A1A"/>
        </w:rPr>
        <w:t xml:space="preserve"/>
        <w:tab/>
        <w:t xml:space="preserve">•</w:t>
        <w:tab/>
        <w:t xml:space="preserve"/>
      </w:r>
      <w:r>
        <w:rPr>
          <w:rFonts w:ascii="Avenir" w:hAnsi="Avenir" w:cs="Avenir"/>
          <w:sz w:val="48"/>
          <w:sz-cs w:val="48"/>
          <w:spacing w:val="0"/>
          <w:color w:val="1A1A1A"/>
        </w:rPr>
        <w:t xml:space="preserve">Los derechos de propiedad intelectual, desde los signos distintivos y los derechos de autor hasta las patentes y la biotecnología.</w:t>
      </w:r>
      <w:r>
        <w:rPr>
          <w:rFonts w:ascii="Avenir" w:hAnsi="Avenir" w:cs="Avenir"/>
          <w:sz w:val="48"/>
          <w:sz-cs w:val="48"/>
          <w:spacing w:val="0"/>
          <w:color w:val="1A1A1A"/>
        </w:rPr>
        <w:t xml:space="preserve"/>
      </w:r>
    </w:p>
    <w:p>
      <w:pPr>
        <w:ind w:left="720" w:first-line="-720"/>
        <w:spacing w:after="28"/>
      </w:pPr>
      <w:r>
        <w:rPr>
          <w:rFonts w:ascii="Avenir" w:hAnsi="Avenir" w:cs="Avenir"/>
          <w:sz w:val="48"/>
          <w:sz-cs w:val="48"/>
          <w:color w:val="1A1A1A"/>
        </w:rPr>
        <w:t xml:space="preserve"/>
        <w:tab/>
        <w:t xml:space="preserve">•</w:t>
        <w:tab/>
        <w:t xml:space="preserve"/>
      </w:r>
      <w:r>
        <w:rPr>
          <w:rFonts w:ascii="Avenir" w:hAnsi="Avenir" w:cs="Avenir"/>
          <w:sz w:val="48"/>
          <w:sz-cs w:val="48"/>
          <w:spacing w:val="0"/>
          <w:color w:val="1A1A1A"/>
        </w:rPr>
        <w:t xml:space="preserve">Las demás funciones que se le asignen.</w:t>
      </w:r>
      <w:r>
        <w:rPr>
          <w:rFonts w:ascii="Avenir" w:hAnsi="Avenir" w:cs="Avenir"/>
          <w:sz w:val="28"/>
          <w:sz-cs w:val="28"/>
          <w:spacing w:val="0"/>
          <w:color w:val="1A1A1A"/>
        </w:rPr>
        <w:t xml:space="preserve"/>
      </w:r>
    </w:p>
    <w:sectPr>
      <w:pgSz w:w="12240" w:h="15840"/>
      <w:pgMar w:top="1440" w:right="1440" w:bottom="1440" w:left="144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CocoaOOXMLWriter/1894.3</generator>
</meta>
</file>